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AB" w:rsidRDefault="000C0CAB" w:rsidP="000C0CAB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>
        <w:rPr>
          <w:rFonts w:hint="eastAsia"/>
          <w:b/>
          <w:sz w:val="32"/>
          <w:szCs w:val="32"/>
        </w:rPr>
        <w:t>债权资产明细表</w:t>
      </w:r>
    </w:p>
    <w:p w:rsidR="000C0CAB" w:rsidRDefault="000C0CAB" w:rsidP="000C0CAB">
      <w:pPr>
        <w:tabs>
          <w:tab w:val="left" w:pos="9450"/>
        </w:tabs>
        <w:spacing w:line="360" w:lineRule="auto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/>
          <w:sz w:val="24"/>
        </w:rPr>
        <w:tab/>
      </w:r>
      <w:r>
        <w:rPr>
          <w:rFonts w:ascii="仿宋_GB2312" w:eastAsia="仿宋_GB2312" w:hAnsi="微软雅黑" w:cs="宋体" w:hint="eastAsia"/>
          <w:sz w:val="24"/>
        </w:rPr>
        <w:t>单位：元  人民币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390"/>
        <w:gridCol w:w="1180"/>
        <w:gridCol w:w="1180"/>
        <w:gridCol w:w="1069"/>
        <w:gridCol w:w="1985"/>
        <w:gridCol w:w="3685"/>
        <w:gridCol w:w="1843"/>
        <w:gridCol w:w="850"/>
      </w:tblGrid>
      <w:tr w:rsidR="000C0CAB" w:rsidTr="00E801FE">
        <w:tc>
          <w:tcPr>
            <w:tcW w:w="709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390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180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1180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1069" w:type="dxa"/>
            <w:shd w:val="clear" w:color="auto" w:fill="92CDDC"/>
            <w:vAlign w:val="center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985" w:type="dxa"/>
            <w:shd w:val="clear" w:color="auto" w:fill="92CDDC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3685" w:type="dxa"/>
            <w:shd w:val="clear" w:color="auto" w:fill="92CDDC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843" w:type="dxa"/>
            <w:shd w:val="clear" w:color="auto" w:fill="92CDDC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850" w:type="dxa"/>
            <w:shd w:val="clear" w:color="auto" w:fill="92CDDC"/>
          </w:tcPr>
          <w:p w:rsid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0C0CAB" w:rsidRPr="000C0CAB" w:rsidTr="00E801FE">
        <w:trPr>
          <w:trHeight w:val="284"/>
        </w:trPr>
        <w:tc>
          <w:tcPr>
            <w:tcW w:w="709" w:type="dxa"/>
          </w:tcPr>
          <w:p w:rsidR="000C0CAB" w:rsidRP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1</w:t>
            </w:r>
          </w:p>
        </w:tc>
        <w:tc>
          <w:tcPr>
            <w:tcW w:w="1418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hAnsi="仿宋" w:cs="仿宋_GB2312" w:hint="eastAsia"/>
                <w:color w:val="000000" w:themeColor="text1"/>
                <w:sz w:val="24"/>
              </w:rPr>
            </w:pPr>
            <w:r w:rsidRPr="000C0CA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盘锦义乌国际商贸城有限公司</w:t>
            </w:r>
          </w:p>
        </w:tc>
        <w:tc>
          <w:tcPr>
            <w:tcW w:w="139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7,499,999.32</w:t>
            </w: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1,212,734.06</w:t>
            </w: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8,712,733.38</w:t>
            </w:r>
          </w:p>
        </w:tc>
        <w:tc>
          <w:tcPr>
            <w:tcW w:w="19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辽宁金盘实业有限公司</w:t>
            </w:r>
          </w:p>
        </w:tc>
        <w:tc>
          <w:tcPr>
            <w:tcW w:w="36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辽宁金盘实业有限公司的土地及地上房产，地址位于盘锦市大洼县榆树镇拉拉村，土地证号为大国用（</w:t>
            </w: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2016</w:t>
            </w: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）第</w:t>
            </w: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206007号，面积66667平方米。</w:t>
            </w:r>
          </w:p>
        </w:tc>
        <w:tc>
          <w:tcPr>
            <w:tcW w:w="1843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已诉讼</w:t>
            </w:r>
          </w:p>
        </w:tc>
        <w:tc>
          <w:tcPr>
            <w:tcW w:w="85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</w:tr>
      <w:tr w:rsidR="000C0CAB" w:rsidRPr="000C0CAB" w:rsidTr="00E801FE">
        <w:trPr>
          <w:trHeight w:val="284"/>
        </w:trPr>
        <w:tc>
          <w:tcPr>
            <w:tcW w:w="709" w:type="dxa"/>
          </w:tcPr>
          <w:p w:rsidR="000C0CAB" w:rsidRP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2</w:t>
            </w:r>
          </w:p>
        </w:tc>
        <w:tc>
          <w:tcPr>
            <w:tcW w:w="1418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39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069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9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36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843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5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</w:tr>
      <w:tr w:rsidR="000C0CAB" w:rsidRPr="000C0CAB" w:rsidTr="00E801FE">
        <w:trPr>
          <w:trHeight w:val="284"/>
        </w:trPr>
        <w:tc>
          <w:tcPr>
            <w:tcW w:w="709" w:type="dxa"/>
          </w:tcPr>
          <w:p w:rsidR="000C0CAB" w:rsidRPr="000C0CAB" w:rsidRDefault="000C0CAB" w:rsidP="00E801F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3</w:t>
            </w:r>
          </w:p>
        </w:tc>
        <w:tc>
          <w:tcPr>
            <w:tcW w:w="1418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39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069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9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36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843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5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</w:tr>
      <w:tr w:rsidR="000C0CAB" w:rsidRPr="000C0CAB" w:rsidTr="00E801FE">
        <w:trPr>
          <w:trHeight w:val="493"/>
        </w:trPr>
        <w:tc>
          <w:tcPr>
            <w:tcW w:w="2127" w:type="dxa"/>
            <w:gridSpan w:val="2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  <w:r w:rsidRPr="000C0CAB"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  <w:t>总计</w:t>
            </w:r>
          </w:p>
        </w:tc>
        <w:tc>
          <w:tcPr>
            <w:tcW w:w="139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</w:rPr>
            </w:pPr>
          </w:p>
        </w:tc>
        <w:tc>
          <w:tcPr>
            <w:tcW w:w="118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069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9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3685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1843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850" w:type="dxa"/>
          </w:tcPr>
          <w:p w:rsidR="000C0CAB" w:rsidRPr="000C0CAB" w:rsidRDefault="000C0CAB" w:rsidP="00E801FE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color w:val="000000" w:themeColor="text1"/>
                <w:sz w:val="24"/>
                <w:lang w:val="zh-CN"/>
              </w:rPr>
            </w:pPr>
          </w:p>
        </w:tc>
      </w:tr>
    </w:tbl>
    <w:p w:rsidR="000C0CAB" w:rsidRPr="000C0CAB" w:rsidRDefault="000C0CAB" w:rsidP="000C0CAB">
      <w:pPr>
        <w:spacing w:line="360" w:lineRule="auto"/>
        <w:rPr>
          <w:rFonts w:ascii="宋体" w:hAnsi="宋体" w:cs="宋体" w:hint="eastAsia"/>
          <w:color w:val="000000" w:themeColor="text1"/>
          <w:sz w:val="28"/>
          <w:szCs w:val="28"/>
        </w:rPr>
      </w:pPr>
      <w:r w:rsidRPr="000C0CAB">
        <w:rPr>
          <w:rFonts w:ascii="宋体" w:hAnsi="宋体" w:cs="宋体" w:hint="eastAsia"/>
          <w:color w:val="000000" w:themeColor="text1"/>
          <w:sz w:val="28"/>
          <w:szCs w:val="28"/>
        </w:rPr>
        <w:t>注：1、表格中本金</w:t>
      </w:r>
      <w:bookmarkStart w:id="0" w:name="_GoBack"/>
      <w:bookmarkEnd w:id="0"/>
      <w:r w:rsidRPr="000C0CAB">
        <w:rPr>
          <w:rFonts w:ascii="宋体" w:hAnsi="宋体" w:cs="宋体" w:hint="eastAsia"/>
          <w:color w:val="000000" w:themeColor="text1"/>
          <w:sz w:val="28"/>
          <w:szCs w:val="28"/>
        </w:rPr>
        <w:t>、利息截至2018年12月6日，债权本息实际数额以法院判决及有关债权确认文件为准。</w:t>
      </w:r>
    </w:p>
    <w:p w:rsidR="000C0CAB" w:rsidRPr="000C0CAB" w:rsidRDefault="000C0CAB" w:rsidP="000C0CAB">
      <w:pPr>
        <w:adjustRightInd w:val="0"/>
        <w:snapToGrid w:val="0"/>
        <w:spacing w:before="120" w:after="120"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C0CAB">
        <w:rPr>
          <w:rFonts w:ascii="宋体" w:hAnsi="宋体" w:cs="宋体" w:hint="eastAsia"/>
          <w:color w:val="000000" w:themeColor="text1"/>
          <w:sz w:val="28"/>
          <w:szCs w:val="28"/>
        </w:rPr>
        <w:t>2、费用包括应由借款人承担的诉讼费、执行费和司法评估费等。</w:t>
      </w:r>
    </w:p>
    <w:p w:rsidR="00D34E53" w:rsidRPr="000C0CAB" w:rsidRDefault="000C0CAB"/>
    <w:sectPr w:rsidR="00D34E53" w:rsidRPr="000C0CA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comment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B"/>
    <w:rsid w:val="000C0CAB"/>
    <w:rsid w:val="009E346D"/>
    <w:rsid w:val="00D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3006-A790-406B-8F0D-C92A318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AB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0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2020-06-24T08:44:00Z</cp:lastPrinted>
  <dcterms:created xsi:type="dcterms:W3CDTF">2020-06-24T08:44:00Z</dcterms:created>
  <dcterms:modified xsi:type="dcterms:W3CDTF">2020-06-24T08:47:00Z</dcterms:modified>
</cp:coreProperties>
</file>