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bookmarkStart w:id="0" w:name="_Toc4864"/>
      <w:bookmarkStart w:id="1" w:name="_Toc20222"/>
      <w:bookmarkStart w:id="2" w:name="_Toc24019"/>
      <w:bookmarkStart w:id="3" w:name="_Toc497493134"/>
      <w:bookmarkStart w:id="4" w:name="_Toc23813"/>
      <w:bookmarkStart w:id="5" w:name="_Toc497493367"/>
      <w:bookmarkStart w:id="6" w:name="_Toc497574941"/>
      <w:bookmarkStart w:id="7" w:name="_Toc23338"/>
      <w:bookmarkStart w:id="8" w:name="_Toc12181"/>
      <w:r>
        <w:rPr>
          <w:rFonts w:ascii="Times New Roman" w:hAnsi="Times New Roman" w:eastAsia="仿宋_GB2312" w:cs="Times New Roman"/>
          <w:b/>
          <w:sz w:val="32"/>
          <w:szCs w:val="32"/>
        </w:rPr>
        <w:t>京明控股项目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情况</w:t>
      </w:r>
    </w:p>
    <w:p>
      <w:pPr>
        <w:ind w:firstLine="560" w:firstLineChars="200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/>
        <w:keepLines/>
        <w:spacing w:before="260" w:after="260" w:line="360" w:lineRule="auto"/>
        <w:outlineLvl w:val="1"/>
        <w:rPr>
          <w:rFonts w:ascii="Times New Roman" w:hAnsi="Times New Roman" w:eastAsia="楷体" w:cs="Times New Roman"/>
          <w:b/>
          <w:kern w:val="0"/>
          <w:sz w:val="28"/>
          <w:szCs w:val="20"/>
        </w:rPr>
      </w:pPr>
      <w:r>
        <w:rPr>
          <w:rFonts w:ascii="Times New Roman" w:hAnsi="Times New Roman" w:eastAsia="楷体" w:cs="Times New Roman"/>
          <w:b/>
          <w:kern w:val="0"/>
          <w:sz w:val="28"/>
          <w:szCs w:val="20"/>
        </w:rPr>
        <w:t>（一）债权基本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 w:ascii="Times New Roman" w:hAnsi="Times New Roman" w:eastAsia="楷体" w:cs="Times New Roman"/>
          <w:b/>
          <w:kern w:val="0"/>
          <w:sz w:val="28"/>
          <w:szCs w:val="20"/>
        </w:rPr>
        <w:t>情况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京明控股项目为我公司2012年开展的收购暨附重组项目，2014年，我公司将该户债权项目协议转让至信达投资。就该户债权项目，信达投资出具《委托书》，委托分公司就债权进行日常维护、管理及最终处置变现。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收购时点，分公司分别以20,050.09万元、11,000.00万元对价收购中信信托有限责任公司、北京邦赫科贸有限公司对京明控股所享有的债权资产。截至处置时点20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月3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日，该户项目债权总额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102,228.82</w:t>
      </w:r>
      <w:r>
        <w:rPr>
          <w:rFonts w:ascii="Times New Roman" w:hAnsi="Times New Roman" w:eastAsia="仿宋_GB2312" w:cs="Times New Roman"/>
          <w:sz w:val="28"/>
          <w:szCs w:val="28"/>
        </w:rPr>
        <w:t>万元，其中：债务重组款31,050.09万元、重组补偿金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25,405.99</w:t>
      </w:r>
      <w:r>
        <w:rPr>
          <w:rFonts w:ascii="Times New Roman" w:hAnsi="Times New Roman" w:eastAsia="仿宋_GB2312" w:cs="Times New Roman"/>
          <w:sz w:val="28"/>
          <w:szCs w:val="28"/>
        </w:rPr>
        <w:t>万元、重组违约金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45,772.74</w:t>
      </w:r>
      <w:r>
        <w:rPr>
          <w:rFonts w:ascii="Times New Roman" w:hAnsi="Times New Roman" w:eastAsia="仿宋_GB2312" w:cs="Times New Roman"/>
          <w:sz w:val="28"/>
          <w:szCs w:val="28"/>
        </w:rPr>
        <w:t>万元。</w:t>
      </w:r>
    </w:p>
    <w:p>
      <w:pPr>
        <w:spacing w:line="360" w:lineRule="auto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2019年12月5日，沈阳市中级人民法院作出“（2018）辽01破申54号”裁定书，裁定受理申请人对沈阳星辰房地产开发有限公司破产清算申请。根据管理人要求，我公司于2020年3月2日申报债权，申报债权规模为100,788.96万元，债权性质为有财产担保债权。经管理人审核，初步认定我公司债权规模为67,725.45万元。</w:t>
      </w:r>
    </w:p>
    <w:p>
      <w:pPr>
        <w:spacing w:line="360" w:lineRule="auto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沈阳市中级人民法院于2020年5月18日发布公告，裁定沈阳星辰房地产开发有限公司重整，目前处于重整阶段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管理人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为辽宁同方律师事务所。</w:t>
      </w:r>
    </w:p>
    <w:p>
      <w:pPr>
        <w:spacing w:line="360" w:lineRule="auto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keepNext/>
        <w:keepLines/>
        <w:spacing w:before="260" w:after="260" w:line="360" w:lineRule="auto"/>
        <w:outlineLvl w:val="1"/>
        <w:rPr>
          <w:rFonts w:ascii="Times New Roman" w:hAnsi="Times New Roman" w:eastAsia="楷体" w:cs="Times New Roman"/>
          <w:b/>
          <w:kern w:val="0"/>
          <w:sz w:val="28"/>
          <w:szCs w:val="20"/>
        </w:rPr>
      </w:pPr>
      <w:r>
        <w:rPr>
          <w:rFonts w:hint="eastAsia" w:ascii="Times New Roman" w:hAnsi="Times New Roman" w:eastAsia="楷体" w:cs="Times New Roman"/>
          <w:b/>
          <w:kern w:val="0"/>
          <w:sz w:val="28"/>
          <w:szCs w:val="20"/>
        </w:rPr>
        <w:t>（</w:t>
      </w:r>
      <w:r>
        <w:rPr>
          <w:rFonts w:ascii="Times New Roman" w:hAnsi="Times New Roman" w:eastAsia="楷体" w:cs="Times New Roman"/>
          <w:b/>
          <w:kern w:val="0"/>
          <w:sz w:val="28"/>
          <w:szCs w:val="20"/>
        </w:rPr>
        <w:t>二）</w:t>
      </w:r>
      <w:r>
        <w:rPr>
          <w:rFonts w:hint="eastAsia" w:ascii="Times New Roman" w:hAnsi="Times New Roman" w:eastAsia="楷体" w:cs="Times New Roman"/>
          <w:b/>
          <w:kern w:val="0"/>
          <w:sz w:val="28"/>
          <w:szCs w:val="20"/>
        </w:rPr>
        <w:t>我司</w:t>
      </w:r>
      <w:r>
        <w:rPr>
          <w:rFonts w:ascii="Times New Roman" w:hAnsi="Times New Roman" w:eastAsia="楷体" w:cs="Times New Roman"/>
          <w:b/>
          <w:kern w:val="0"/>
          <w:sz w:val="28"/>
          <w:szCs w:val="20"/>
        </w:rPr>
        <w:t>抵押资产情况</w:t>
      </w:r>
    </w:p>
    <w:p>
      <w:pPr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、京城</w:t>
      </w:r>
      <w:r>
        <w:rPr>
          <w:rFonts w:ascii="Times New Roman" w:hAnsi="Times New Roman" w:eastAsia="仿宋_GB2312" w:cs="Times New Roman"/>
          <w:b/>
          <w:sz w:val="28"/>
          <w:szCs w:val="28"/>
        </w:rPr>
        <w:t>中心项目概况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“京城中心”项目占地面积合计20,521.6平米，总规划建筑面积151,321 平米，由5栋33层点式楼构成，其中：1#、2#楼是住宅，3#、4#、5#为公寓，住宅面积为60—108 平米、公寓面积为30—70 平米。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目前，</w:t>
      </w:r>
      <w:r>
        <w:rPr>
          <w:rFonts w:ascii="Times New Roman" w:hAnsi="Times New Roman" w:eastAsia="仿宋_GB2312" w:cs="Times New Roman"/>
          <w:sz w:val="28"/>
          <w:szCs w:val="28"/>
        </w:rPr>
        <w:t>“京城中心”项目“五证”齐全（销售许可中尚不包括5#楼）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。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工程</w:t>
      </w:r>
      <w:r>
        <w:rPr>
          <w:rFonts w:ascii="Times New Roman" w:hAnsi="Times New Roman" w:eastAsia="仿宋_GB2312" w:cs="Times New Roman"/>
          <w:sz w:val="28"/>
          <w:szCs w:val="28"/>
        </w:rPr>
        <w:t>完工情况：</w:t>
      </w:r>
      <w:r>
        <w:rPr>
          <w:rFonts w:ascii="Times New Roman" w:hAnsi="Times New Roman" w:eastAsia="仿宋_GB2312"/>
          <w:sz w:val="28"/>
          <w:szCs w:val="28"/>
        </w:rPr>
        <w:t>1#、2#、3#、4#楼主体结构完成，5#楼主体结构完成至25层。1#、2#住宅部分，外部装修完成、内部设备设施部分未完成。3#、4#砌筑完成，其中3#外窗及外墙保温系统完成。</w:t>
      </w:r>
      <w:r>
        <w:rPr>
          <w:rFonts w:hint="eastAsia" w:ascii="Times New Roman" w:hAnsi="Times New Roman" w:eastAsia="仿宋_GB2312"/>
          <w:sz w:val="28"/>
          <w:szCs w:val="28"/>
        </w:rPr>
        <w:t>底商部分主体结构及砌筑完成。</w:t>
      </w:r>
    </w:p>
    <w:p>
      <w:pPr>
        <w:ind w:firstLine="42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drawing>
          <wp:inline distT="0" distB="0" distL="0" distR="0">
            <wp:extent cx="5103495" cy="26670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8788" cy="26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2、我司</w:t>
      </w:r>
      <w:r>
        <w:rPr>
          <w:rFonts w:ascii="Times New Roman" w:hAnsi="Times New Roman" w:eastAsia="仿宋_GB2312"/>
          <w:b/>
          <w:sz w:val="28"/>
          <w:szCs w:val="28"/>
        </w:rPr>
        <w:t>抵押资产情况</w:t>
      </w:r>
    </w:p>
    <w:p>
      <w:pPr>
        <w:spacing w:line="360" w:lineRule="auto"/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所抵押的面积20521.6平米土地使用权为两宗土地，即位于沈阳市和平区文体路的土地证号分别为“沈阳国用（2008）第0039号、第0040号”两宗土地使用权，土地面积分别为14156.9平米、6364.7平米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截至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目前</w:t>
      </w:r>
      <w:r>
        <w:rPr>
          <w:rFonts w:ascii="Times New Roman" w:hAnsi="Times New Roman" w:eastAsia="仿宋_GB2312" w:cs="Times New Roman"/>
          <w:sz w:val="28"/>
          <w:szCs w:val="28"/>
        </w:rPr>
        <w:t>，该项目下剩余抵押在建工程共934套、建筑面积合计69965.07平米，其中：住宅428套、建筑面积小计35937.73平米，公寓482套、建筑面积小计26556.47平米，商业用房24套、建筑面积小计7471.13平米，在执行阶段，分公司查封了所抵押在建工程。所抵押在建工程具体情况如下表所示：</w:t>
      </w:r>
    </w:p>
    <w:tbl>
      <w:tblPr>
        <w:tblStyle w:val="6"/>
        <w:tblW w:w="8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565"/>
        <w:gridCol w:w="996"/>
        <w:gridCol w:w="1261"/>
        <w:gridCol w:w="1112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坐落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楼号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房产性质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套数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建筑面积（平米）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和平区文兴路41-1号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1号楼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商业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1,549.42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住宅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18,153.82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19,703.24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和平区文兴路41-2号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2号楼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商业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605.06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住宅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17,783.91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18,388.97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和平区文兴路41-3号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3号楼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商业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4,704.57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公寓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18,154.16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22,858.73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和平区文兴路41-5号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4号楼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商业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612.08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公寓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8,402.31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9,014.39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2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合    计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934</w:t>
            </w:r>
          </w:p>
        </w:tc>
        <w:tc>
          <w:tcPr>
            <w:tcW w:w="2158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69,965.07 </w:t>
            </w:r>
          </w:p>
        </w:tc>
      </w:tr>
    </w:tbl>
    <w:p>
      <w:pPr>
        <w:spacing w:line="360" w:lineRule="auto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根据</w:t>
      </w:r>
      <w:r>
        <w:rPr>
          <w:rFonts w:ascii="Times New Roman" w:hAnsi="Times New Roman" w:eastAsia="仿宋_GB2312" w:cs="Times New Roman"/>
          <w:sz w:val="28"/>
          <w:szCs w:val="28"/>
        </w:rPr>
        <w:t>目前掌握的情况，抵押房产中存在抵债、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已售</w:t>
      </w:r>
      <w:r>
        <w:rPr>
          <w:rFonts w:ascii="Times New Roman" w:hAnsi="Times New Roman" w:eastAsia="仿宋_GB2312" w:cs="Times New Roman"/>
          <w:sz w:val="28"/>
          <w:szCs w:val="28"/>
        </w:rPr>
        <w:t>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情况</w:t>
      </w:r>
      <w:r>
        <w:rPr>
          <w:rFonts w:ascii="Times New Roman" w:hAnsi="Times New Roman" w:eastAsia="仿宋_GB2312" w:cs="Times New Roman"/>
          <w:sz w:val="28"/>
          <w:szCs w:val="28"/>
        </w:rPr>
        <w:t>，经统计</w:t>
      </w:r>
      <w:r>
        <w:rPr>
          <w:rFonts w:ascii="Times New Roman" w:hAnsi="Times New Roman" w:eastAsia="仿宋_GB2312" w:cs="Times New Roman"/>
          <w:b/>
          <w:sz w:val="28"/>
          <w:szCs w:val="28"/>
        </w:rPr>
        <w:t>无任何争议的抵押房产</w:t>
      </w:r>
      <w:r>
        <w:rPr>
          <w:rFonts w:ascii="Times New Roman" w:hAnsi="Times New Roman" w:eastAsia="仿宋_GB2312" w:cs="Times New Roman"/>
          <w:sz w:val="28"/>
          <w:szCs w:val="28"/>
        </w:rPr>
        <w:t>剩余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429套</w:t>
      </w:r>
      <w:r>
        <w:rPr>
          <w:rFonts w:ascii="Times New Roman" w:hAnsi="Times New Roman" w:eastAsia="仿宋_GB2312" w:cs="Times New Roman"/>
          <w:sz w:val="28"/>
          <w:szCs w:val="28"/>
        </w:rPr>
        <w:t>，建筑面积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29497.99平米</w:t>
      </w:r>
      <w:r>
        <w:rPr>
          <w:rFonts w:ascii="Times New Roman" w:hAnsi="Times New Roman" w:eastAsia="仿宋_GB2312" w:cs="Times New Roman"/>
          <w:sz w:val="28"/>
          <w:szCs w:val="28"/>
        </w:rPr>
        <w:t>，其中住宅128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套</w:t>
      </w:r>
      <w:r>
        <w:rPr>
          <w:rFonts w:ascii="Times New Roman" w:hAnsi="Times New Roman" w:eastAsia="仿宋_GB2312" w:cs="Times New Roman"/>
          <w:sz w:val="28"/>
          <w:szCs w:val="28"/>
        </w:rPr>
        <w:t>，建筑面积9726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平米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公寓</w:t>
      </w:r>
      <w:r>
        <w:rPr>
          <w:rFonts w:ascii="Times New Roman" w:hAnsi="Times New Roman" w:eastAsia="仿宋_GB2312" w:cs="Times New Roman"/>
          <w:sz w:val="28"/>
          <w:szCs w:val="28"/>
        </w:rPr>
        <w:t>291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套</w:t>
      </w:r>
      <w:r>
        <w:rPr>
          <w:rFonts w:ascii="Times New Roman" w:hAnsi="Times New Roman" w:eastAsia="仿宋_GB2312" w:cs="Times New Roman"/>
          <w:sz w:val="28"/>
          <w:szCs w:val="28"/>
        </w:rPr>
        <w:t>，建筑面积15777.54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平米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商业10套</w:t>
      </w:r>
      <w:r>
        <w:rPr>
          <w:rFonts w:ascii="Times New Roman" w:hAnsi="Times New Roman" w:eastAsia="仿宋_GB2312" w:cs="Times New Roman"/>
          <w:sz w:val="28"/>
          <w:szCs w:val="28"/>
        </w:rPr>
        <w:t>，建筑面积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3994.45平米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keepNext/>
        <w:keepLines/>
        <w:spacing w:before="260" w:after="260" w:line="360" w:lineRule="auto"/>
        <w:outlineLvl w:val="1"/>
        <w:rPr>
          <w:rFonts w:hint="eastAsia" w:ascii="Times New Roman" w:hAnsi="Times New Roman" w:eastAsia="楷体" w:cs="Times New Roman"/>
          <w:b/>
          <w:kern w:val="0"/>
          <w:sz w:val="28"/>
          <w:szCs w:val="20"/>
        </w:rPr>
      </w:pPr>
      <w:r>
        <w:rPr>
          <w:rFonts w:hint="eastAsia" w:ascii="Times New Roman" w:hAnsi="Times New Roman" w:eastAsia="楷体" w:cs="Times New Roman"/>
          <w:b/>
          <w:kern w:val="0"/>
          <w:sz w:val="28"/>
          <w:szCs w:val="20"/>
        </w:rPr>
        <w:t>（三</w:t>
      </w:r>
      <w:r>
        <w:rPr>
          <w:rFonts w:ascii="Times New Roman" w:hAnsi="Times New Roman" w:eastAsia="楷体" w:cs="Times New Roman"/>
          <w:b/>
          <w:kern w:val="0"/>
          <w:sz w:val="28"/>
          <w:szCs w:val="20"/>
        </w:rPr>
        <w:t>）</w:t>
      </w:r>
      <w:r>
        <w:rPr>
          <w:rFonts w:hint="eastAsia" w:ascii="Times New Roman" w:hAnsi="Times New Roman" w:eastAsia="楷体" w:cs="Times New Roman"/>
          <w:b/>
          <w:kern w:val="0"/>
          <w:sz w:val="28"/>
          <w:szCs w:val="20"/>
        </w:rPr>
        <w:t>京城中心项目现状</w:t>
      </w:r>
    </w:p>
    <w:p>
      <w:pPr>
        <w:spacing w:line="360" w:lineRule="auto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1、</w:t>
      </w:r>
      <w:r>
        <w:rPr>
          <w:rFonts w:ascii="Times New Roman" w:hAnsi="Times New Roman" w:eastAsia="仿宋_GB2312" w:cs="Times New Roman"/>
          <w:sz w:val="28"/>
          <w:szCs w:val="28"/>
        </w:rPr>
        <w:t>可售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房</w:t>
      </w:r>
      <w:r>
        <w:rPr>
          <w:rFonts w:ascii="Times New Roman" w:hAnsi="Times New Roman" w:eastAsia="仿宋_GB2312" w:cs="Times New Roman"/>
          <w:sz w:val="28"/>
          <w:szCs w:val="28"/>
        </w:rPr>
        <w:t>产情况</w:t>
      </w:r>
    </w:p>
    <w:p>
      <w:pPr>
        <w:spacing w:line="360" w:lineRule="auto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根据</w:t>
      </w:r>
      <w:r>
        <w:rPr>
          <w:rFonts w:ascii="Times New Roman" w:hAnsi="Times New Roman" w:eastAsia="仿宋_GB2312" w:cs="Times New Roman"/>
          <w:sz w:val="28"/>
          <w:szCs w:val="28"/>
        </w:rPr>
        <w:t>管理人初步编制的重整计划草案，京城中心剩余可销售房产情况如下：</w:t>
      </w:r>
    </w:p>
    <w:p>
      <w:pPr>
        <w:spacing w:line="360" w:lineRule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drawing>
          <wp:inline distT="0" distB="0" distL="0" distR="0">
            <wp:extent cx="5274310" cy="37153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地下</w:t>
      </w:r>
      <w:r>
        <w:rPr>
          <w:rFonts w:ascii="Times New Roman" w:hAnsi="Times New Roman" w:eastAsia="仿宋_GB2312" w:cs="Times New Roman"/>
          <w:sz w:val="28"/>
          <w:szCs w:val="28"/>
        </w:rPr>
        <w:t>车位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434个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360" w:lineRule="auto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2、</w:t>
      </w:r>
      <w:r>
        <w:rPr>
          <w:rFonts w:ascii="Times New Roman" w:hAnsi="Times New Roman" w:eastAsia="仿宋_GB2312" w:cs="Times New Roman"/>
          <w:sz w:val="28"/>
          <w:szCs w:val="28"/>
        </w:rPr>
        <w:t>负债情况</w:t>
      </w:r>
    </w:p>
    <w:p>
      <w:pPr>
        <w:spacing w:line="360" w:lineRule="auto"/>
        <w:ind w:firstLine="56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不包括购房人</w:t>
      </w:r>
      <w:r>
        <w:rPr>
          <w:rFonts w:ascii="Times New Roman" w:hAnsi="Times New Roman" w:eastAsia="仿宋_GB2312" w:cs="Times New Roman"/>
          <w:sz w:val="28"/>
          <w:szCs w:val="28"/>
        </w:rPr>
        <w:t>债权在内，经营过程形成的各类债务共计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9.45亿元</w:t>
      </w:r>
      <w:r>
        <w:rPr>
          <w:rFonts w:ascii="Times New Roman" w:hAnsi="Times New Roman" w:eastAsia="仿宋_GB2312" w:cs="Times New Roman"/>
          <w:sz w:val="28"/>
          <w:szCs w:val="28"/>
        </w:rPr>
        <w:t>，我司为第一大债权人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且为优先债权。</w:t>
      </w:r>
    </w:p>
    <w:p>
      <w:pPr>
        <w:spacing w:line="360" w:lineRule="auto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其他优先</w:t>
      </w:r>
      <w:r>
        <w:rPr>
          <w:rFonts w:ascii="Times New Roman" w:hAnsi="Times New Roman" w:eastAsia="仿宋_GB2312" w:cs="Times New Roman"/>
          <w:sz w:val="28"/>
          <w:szCs w:val="28"/>
        </w:rPr>
        <w:t>债权：工程款6707.52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万元</w:t>
      </w:r>
      <w:r>
        <w:rPr>
          <w:rFonts w:ascii="Times New Roman" w:hAnsi="Times New Roman" w:eastAsia="仿宋_GB2312" w:cs="Times New Roman"/>
          <w:sz w:val="28"/>
          <w:szCs w:val="28"/>
        </w:rPr>
        <w:t>；职工债权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181.89万元</w:t>
      </w:r>
      <w:r>
        <w:rPr>
          <w:rFonts w:ascii="Times New Roman" w:hAnsi="Times New Roman" w:eastAsia="仿宋_GB2312" w:cs="Times New Roman"/>
          <w:sz w:val="28"/>
          <w:szCs w:val="28"/>
        </w:rPr>
        <w:t>；税收债权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2216.49万元</w:t>
      </w:r>
    </w:p>
    <w:p>
      <w:pPr>
        <w:spacing w:line="360" w:lineRule="auto"/>
        <w:ind w:firstLine="56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项目可能存在其他未知瑕疵，由客户自行调查落实。</w:t>
      </w:r>
      <w:bookmarkStart w:id="9" w:name="_GoBack"/>
      <w:bookmarkEnd w:id="9"/>
    </w:p>
    <w:p>
      <w:pPr>
        <w:spacing w:line="360" w:lineRule="auto"/>
        <w:ind w:firstLine="560"/>
        <w:rPr>
          <w:rFonts w:hint="eastAsia"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1A"/>
    <w:rsid w:val="00155D16"/>
    <w:rsid w:val="001D432A"/>
    <w:rsid w:val="001F3ACB"/>
    <w:rsid w:val="002065D6"/>
    <w:rsid w:val="002943B9"/>
    <w:rsid w:val="00323644"/>
    <w:rsid w:val="00394DB7"/>
    <w:rsid w:val="003A23AF"/>
    <w:rsid w:val="00412448"/>
    <w:rsid w:val="00457C4C"/>
    <w:rsid w:val="004A2A1D"/>
    <w:rsid w:val="00702D75"/>
    <w:rsid w:val="00880316"/>
    <w:rsid w:val="008C4FB3"/>
    <w:rsid w:val="00953B3F"/>
    <w:rsid w:val="00A8231A"/>
    <w:rsid w:val="00BE3D45"/>
    <w:rsid w:val="00C320E1"/>
    <w:rsid w:val="00D27A6E"/>
    <w:rsid w:val="00DD20B7"/>
    <w:rsid w:val="00E228A6"/>
    <w:rsid w:val="00EA5E91"/>
    <w:rsid w:val="00F452D3"/>
    <w:rsid w:val="00F53706"/>
    <w:rsid w:val="00F913BB"/>
    <w:rsid w:val="07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1451</Characters>
  <Lines>12</Lines>
  <Paragraphs>3</Paragraphs>
  <TotalTime>51</TotalTime>
  <ScaleCrop>false</ScaleCrop>
  <LinksUpToDate>false</LinksUpToDate>
  <CharactersWithSpaces>1702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2020-11-12T06:07:00Z</dcterms:created>
  <dc:creator>赵成科</dc:creator>
  <cp:lastModifiedBy>赵成科</cp:lastModifiedBy>
  <cp:lastPrinted>2020-11-12T06:52:00Z</cp:lastPrinted>
  <dcterms:modified xsi:type="dcterms:W3CDTF">2021-09-09T01:18:00Z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